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Земельні торги</w:t>
      </w:r>
      <w:r>
        <w:rPr>
          <w:rFonts w:ascii="e-Ukraine" w:hAnsi="e-Ukraine"/>
          <w:b/>
          <w:bCs/>
          <w:color w:val="000000"/>
        </w:rPr>
        <w:br/>
        <w:t>● </w:t>
      </w:r>
      <w:hyperlink r:id="rId5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Земельний кодекс України</w:t>
        </w:r>
      </w:hyperlink>
      <w:r>
        <w:rPr>
          <w:rFonts w:ascii="e-Ukraine" w:hAnsi="e-Ukraine"/>
          <w:b/>
          <w:bCs/>
          <w:color w:val="000000"/>
        </w:rPr>
        <w:br/>
        <w:t>● </w:t>
      </w:r>
      <w:hyperlink r:id="rId6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№ 1013</w:t>
        </w:r>
      </w:hyperlink>
      <w:r>
        <w:rPr>
          <w:rFonts w:ascii="e-Ukraine" w:hAnsi="e-Ukraine"/>
          <w:b/>
          <w:bCs/>
          <w:color w:val="000000"/>
        </w:rPr>
        <w:br/>
        <w:t>● </w:t>
      </w:r>
      <w:hyperlink r:id="rId7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Закон України «Про оренду землі»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Продаж майна і права користування</w:t>
      </w:r>
      <w:r>
        <w:rPr>
          <w:rFonts w:ascii="e-Ukraine" w:hAnsi="e-Ukraine"/>
          <w:b/>
          <w:bCs/>
          <w:color w:val="000000"/>
        </w:rPr>
        <w:br/>
        <w:t>●</w:t>
      </w:r>
      <w:hyperlink r:id="rId8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Регламент системи </w:t>
        </w:r>
        <w:proofErr w:type="spellStart"/>
        <w:r>
          <w:rPr>
            <w:rStyle w:val="a4"/>
            <w:rFonts w:ascii="e-Ukraine" w:hAnsi="e-Ukraine"/>
            <w:b/>
            <w:bCs/>
            <w:color w:val="6920EA"/>
            <w:u w:val="none"/>
          </w:rPr>
          <w:t>Прозорро.Продажі</w:t>
        </w:r>
        <w:proofErr w:type="spellEnd"/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 ЦБД2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Оренда Державного та комунального майна</w:t>
      </w:r>
      <w:r>
        <w:rPr>
          <w:rFonts w:ascii="e-Ukraine" w:hAnsi="e-Ukraine"/>
          <w:b/>
          <w:bCs/>
          <w:color w:val="000000"/>
        </w:rPr>
        <w:br/>
        <w:t>●</w:t>
      </w:r>
      <w:hyperlink r:id="rId9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Закон України про оренду державного та комунального майна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10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Порядок передачі в оренду державного та комунального майна</w:t>
        </w:r>
      </w:hyperlink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● </w:t>
      </w:r>
      <w:hyperlink r:id="rId11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Оренда під час воєнного стану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Мала приватизація</w:t>
      </w:r>
      <w:r>
        <w:rPr>
          <w:rFonts w:ascii="e-Ukraine" w:hAnsi="e-Ukraine"/>
          <w:b/>
          <w:bCs/>
          <w:color w:val="000000"/>
        </w:rPr>
        <w:br/>
        <w:t>●</w:t>
      </w:r>
      <w:hyperlink r:id="rId12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432</w:t>
        </w:r>
      </w:hyperlink>
      <w:r>
        <w:rPr>
          <w:rFonts w:ascii="e-Ukraine" w:hAnsi="e-Ukraine"/>
          <w:b/>
          <w:bCs/>
          <w:color w:val="000000"/>
        </w:rPr>
        <w:br/>
      </w:r>
      <w:r>
        <w:rPr>
          <w:rFonts w:ascii="e-Ukraine" w:hAnsi="e-Ukraine"/>
          <w:color w:val="000000"/>
        </w:rPr>
        <w:t>●</w:t>
      </w:r>
      <w:hyperlink r:id="rId13" w:history="1">
        <w:r>
          <w:rPr>
            <w:rStyle w:val="a4"/>
            <w:rFonts w:ascii="e-Ukraine" w:hAnsi="e-Ukraine"/>
            <w:color w:val="6920EA"/>
            <w:u w:val="none"/>
          </w:rPr>
          <w:t>Постанова 433</w:t>
        </w:r>
      </w:hyperlink>
      <w:r>
        <w:rPr>
          <w:rFonts w:ascii="e-Ukraine" w:hAnsi="e-Ukraine"/>
          <w:b/>
          <w:bCs/>
          <w:color w:val="000000"/>
        </w:rPr>
        <w:br/>
      </w:r>
      <w:r>
        <w:rPr>
          <w:rFonts w:ascii="e-Ukraine" w:hAnsi="e-Ukraine"/>
          <w:color w:val="000000"/>
        </w:rPr>
        <w:t>●</w:t>
      </w:r>
      <w:hyperlink r:id="rId14" w:history="1">
        <w:r>
          <w:rPr>
            <w:rStyle w:val="a4"/>
            <w:rFonts w:ascii="e-Ukraine" w:hAnsi="e-Ukraine"/>
            <w:color w:val="6920EA"/>
            <w:u w:val="none"/>
          </w:rPr>
          <w:t>Закон України про Приватизацію державного та комунального майна</w:t>
        </w:r>
      </w:hyperlink>
      <w:r>
        <w:rPr>
          <w:rFonts w:ascii="e-Ukraine" w:hAnsi="e-Ukraine"/>
          <w:color w:val="000000"/>
        </w:rPr>
        <w:br/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Велика приватизація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b w:val="0"/>
          <w:bCs w:val="0"/>
          <w:color w:val="000000"/>
        </w:rPr>
        <w:t>● </w:t>
      </w:r>
      <w:hyperlink r:id="rId15" w:anchor="Text" w:history="1">
        <w:r>
          <w:rPr>
            <w:rStyle w:val="a4"/>
            <w:rFonts w:ascii="e-Ukraine" w:hAnsi="e-Ukraine"/>
            <w:color w:val="6920EA"/>
            <w:u w:val="none"/>
          </w:rPr>
          <w:t>Постанова 183</w:t>
        </w:r>
      </w:hyperlink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b w:val="0"/>
          <w:bCs w:val="0"/>
          <w:color w:val="000000"/>
        </w:rPr>
        <w:t>●</w:t>
      </w:r>
      <w:hyperlink r:id="rId16" w:history="1">
        <w:r>
          <w:rPr>
            <w:rStyle w:val="a4"/>
            <w:rFonts w:ascii="e-Ukraine" w:hAnsi="e-Ukraine"/>
            <w:color w:val="6920EA"/>
            <w:u w:val="none"/>
          </w:rPr>
          <w:t>Закон України про Приватизацію державного та комунального майна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 xml:space="preserve">Майно </w:t>
      </w:r>
      <w:proofErr w:type="spellStart"/>
      <w:r>
        <w:rPr>
          <w:rFonts w:ascii="e-Ukraine" w:hAnsi="e-Ukraine"/>
          <w:b/>
          <w:bCs/>
          <w:color w:val="000000"/>
        </w:rPr>
        <w:t>держпідприємств</w:t>
      </w:r>
      <w:proofErr w:type="spellEnd"/>
      <w:r>
        <w:rPr>
          <w:rFonts w:ascii="e-Ukraine" w:hAnsi="e-Ukraine"/>
          <w:b/>
          <w:bCs/>
          <w:color w:val="000000"/>
        </w:rPr>
        <w:t xml:space="preserve"> (в </w:t>
      </w:r>
      <w:proofErr w:type="spellStart"/>
      <w:r>
        <w:rPr>
          <w:rFonts w:ascii="e-Ukraine" w:hAnsi="e-Ukraine"/>
          <w:b/>
          <w:bCs/>
          <w:color w:val="000000"/>
        </w:rPr>
        <w:t>т.ч</w:t>
      </w:r>
      <w:proofErr w:type="spellEnd"/>
      <w:r>
        <w:rPr>
          <w:rFonts w:ascii="e-Ukraine" w:hAnsi="e-Ukraine"/>
          <w:b/>
          <w:bCs/>
          <w:color w:val="000000"/>
        </w:rPr>
        <w:t xml:space="preserve">. </w:t>
      </w:r>
      <w:proofErr w:type="spellStart"/>
      <w:r>
        <w:rPr>
          <w:rFonts w:ascii="e-Ukraine" w:hAnsi="e-Ukraine"/>
          <w:b/>
          <w:bCs/>
          <w:color w:val="000000"/>
        </w:rPr>
        <w:t>Укроборонпром</w:t>
      </w:r>
      <w:proofErr w:type="spellEnd"/>
      <w:r>
        <w:rPr>
          <w:rFonts w:ascii="e-Ukraine" w:hAnsi="e-Ukraine"/>
          <w:b/>
          <w:bCs/>
          <w:color w:val="000000"/>
        </w:rPr>
        <w:t>)</w:t>
      </w:r>
      <w:r>
        <w:rPr>
          <w:rFonts w:ascii="e-Ukraine" w:hAnsi="e-Ukraine"/>
          <w:b/>
          <w:bCs/>
          <w:color w:val="000000"/>
        </w:rPr>
        <w:br/>
        <w:t>●</w:t>
      </w:r>
      <w:hyperlink r:id="rId17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 803 в редакції № 884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18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Регламент системи </w:t>
        </w:r>
        <w:proofErr w:type="spellStart"/>
        <w:r>
          <w:rPr>
            <w:rStyle w:val="a4"/>
            <w:rFonts w:ascii="e-Ukraine" w:hAnsi="e-Ukraine"/>
            <w:b/>
            <w:bCs/>
            <w:color w:val="6920EA"/>
            <w:u w:val="none"/>
          </w:rPr>
          <w:t>Прозорро.Продажі</w:t>
        </w:r>
        <w:proofErr w:type="spellEnd"/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 ЦБД2</w:t>
        </w:r>
      </w:hyperlink>
      <w:r>
        <w:rPr>
          <w:rFonts w:ascii="e-Ukraine" w:hAnsi="e-Ukraine"/>
          <w:color w:val="000000"/>
        </w:rPr>
        <w:br/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Продаж активів банків, що ліквідуються</w:t>
      </w:r>
      <w:r>
        <w:rPr>
          <w:rFonts w:ascii="e-Ukraine" w:hAnsi="e-Ukraine"/>
          <w:b/>
          <w:bCs/>
          <w:color w:val="000000"/>
        </w:rPr>
        <w:br/>
        <w:t>●</w:t>
      </w:r>
      <w:hyperlink r:id="rId19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Регламент для англійського аукціону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20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Регламент для голландського аукціону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21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Регламент продажу активів НБУ</w:t>
        </w:r>
      </w:hyperlink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● </w:t>
      </w:r>
      <w:hyperlink r:id="rId22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№388</w:t>
        </w:r>
      </w:hyperlink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Продаж та оренда майна АТ «Укрзалізниця»</w:t>
      </w:r>
      <w:r>
        <w:rPr>
          <w:rFonts w:ascii="e-Ukraine" w:hAnsi="e-Ukraine"/>
          <w:b/>
          <w:bCs/>
          <w:color w:val="000000"/>
        </w:rPr>
        <w:br/>
        <w:t>●</w:t>
      </w:r>
      <w:hyperlink r:id="rId23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 1054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24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Регламент системи </w:t>
        </w:r>
        <w:proofErr w:type="spellStart"/>
        <w:r>
          <w:rPr>
            <w:rStyle w:val="a4"/>
            <w:rFonts w:ascii="e-Ukraine" w:hAnsi="e-Ukraine"/>
            <w:b/>
            <w:bCs/>
            <w:color w:val="6920EA"/>
            <w:u w:val="none"/>
          </w:rPr>
          <w:t>Прозорро.Продажі</w:t>
        </w:r>
        <w:proofErr w:type="spellEnd"/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 ЦБД2</w:t>
        </w:r>
      </w:hyperlink>
      <w:r>
        <w:rPr>
          <w:rFonts w:ascii="e-Ukraine" w:hAnsi="e-Ukraine"/>
          <w:color w:val="000000"/>
        </w:rPr>
        <w:br/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Оренда вагонів Укрзалізниці</w:t>
      </w:r>
      <w:r>
        <w:rPr>
          <w:rFonts w:ascii="e-Ukraine" w:hAnsi="e-Ukraine"/>
          <w:color w:val="000000"/>
        </w:rPr>
        <w:br/>
      </w:r>
      <w:r>
        <w:rPr>
          <w:rFonts w:ascii="e-Ukraine" w:hAnsi="e-Ukraine"/>
          <w:b/>
          <w:bCs/>
          <w:color w:val="000000"/>
        </w:rPr>
        <w:t>● </w:t>
      </w:r>
      <w:hyperlink r:id="rId25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Регламент </w:t>
        </w:r>
        <w:proofErr w:type="spellStart"/>
        <w:r>
          <w:rPr>
            <w:rStyle w:val="a4"/>
            <w:rFonts w:ascii="e-Ukraine" w:hAnsi="e-Ukraine"/>
            <w:b/>
            <w:bCs/>
            <w:color w:val="6920EA"/>
            <w:u w:val="none"/>
          </w:rPr>
          <w:t>Прозорро.Продажі</w:t>
        </w:r>
        <w:proofErr w:type="spellEnd"/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 для вагонів АТ «Укрзалізниця»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Продаж товарів, які не пройшли митний контроль</w:t>
      </w:r>
      <w:r>
        <w:rPr>
          <w:rFonts w:ascii="e-Ukraine" w:hAnsi="e-Ukraine"/>
          <w:b/>
          <w:bCs/>
          <w:color w:val="000000"/>
        </w:rPr>
        <w:br/>
        <w:t>●</w:t>
      </w:r>
      <w:hyperlink r:id="rId26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 1050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27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Регламент системи </w:t>
        </w:r>
        <w:proofErr w:type="spellStart"/>
        <w:r>
          <w:rPr>
            <w:rStyle w:val="a4"/>
            <w:rFonts w:ascii="e-Ukraine" w:hAnsi="e-Ukraine"/>
            <w:b/>
            <w:bCs/>
            <w:color w:val="6920EA"/>
            <w:u w:val="none"/>
          </w:rPr>
          <w:t>Прозорро.Продажі</w:t>
        </w:r>
        <w:proofErr w:type="spellEnd"/>
        <w:r>
          <w:rPr>
            <w:rStyle w:val="a4"/>
            <w:rFonts w:ascii="e-Ukraine" w:hAnsi="e-Ukraine"/>
            <w:b/>
            <w:bCs/>
            <w:color w:val="6920EA"/>
            <w:u w:val="none"/>
          </w:rPr>
          <w:t xml:space="preserve"> ЦБД2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Продаж прав на видобуток корисних копалин</w:t>
      </w:r>
      <w:r>
        <w:rPr>
          <w:rFonts w:ascii="e-Ukraine" w:hAnsi="e-Ukraine"/>
          <w:b/>
          <w:bCs/>
          <w:color w:val="000000"/>
        </w:rPr>
        <w:br/>
        <w:t>●</w:t>
      </w:r>
      <w:hyperlink r:id="rId28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 993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Fonts w:ascii="e-Ukraine" w:hAnsi="e-Ukraine"/>
          <w:b/>
          <w:bCs/>
          <w:color w:val="000000"/>
        </w:rPr>
        <w:t>Банкрутство</w:t>
      </w:r>
      <w:r>
        <w:rPr>
          <w:rFonts w:ascii="e-Ukraine" w:hAnsi="e-Ukraine"/>
          <w:b/>
          <w:bCs/>
          <w:color w:val="000000"/>
        </w:rPr>
        <w:br/>
        <w:t>●</w:t>
      </w:r>
      <w:hyperlink r:id="rId29" w:anchor="n1082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Кодекс із питань банкрутства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30" w:anchor="Text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865</w:t>
        </w:r>
      </w:hyperlink>
      <w:r>
        <w:rPr>
          <w:rFonts w:ascii="e-Ukraine" w:hAnsi="e-Ukraine"/>
          <w:b/>
          <w:bCs/>
          <w:color w:val="000000"/>
        </w:rPr>
        <w:br/>
        <w:t>●</w:t>
      </w:r>
      <w:hyperlink r:id="rId31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Регламент продажу майна в процедурі банкрутства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lastRenderedPageBreak/>
        <w:t>Продаж та оренда активів та майна банків з державною часткою (NPL) (крім АТ “ПриватБанк”)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● </w:t>
      </w:r>
      <w:hyperlink r:id="rId32" w:anchor="Text" w:tgtFrame="_blank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від 15.04.2020 року № 281</w:t>
        </w:r>
      </w:hyperlink>
      <w:r>
        <w:rPr>
          <w:rFonts w:ascii="e-Ukraine" w:hAnsi="e-Ukraine"/>
          <w:b/>
          <w:bCs/>
          <w:color w:val="000000"/>
        </w:rPr>
        <w:br/>
      </w:r>
      <w:r>
        <w:rPr>
          <w:rStyle w:val="a6"/>
          <w:rFonts w:ascii="e-Ukraine" w:hAnsi="e-Ukraine"/>
          <w:color w:val="000000"/>
        </w:rPr>
        <w:t>● </w:t>
      </w:r>
      <w:hyperlink r:id="rId33" w:tgtFrame="_blank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Регламент банків з державною часткою (NPL)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Використання водних біоресурсів та користування акваторією внутрішніх морських вод (марикультура)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● </w:t>
      </w:r>
      <w:hyperlink r:id="rId34" w:anchor="Text" w:tgtFrame="_blank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 1479 від 30 грудня 2022 р.</w:t>
        </w:r>
      </w:hyperlink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● </w:t>
      </w:r>
      <w:hyperlink r:id="rId35" w:anchor="Text" w:tgtFrame="_blank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 1191 від 14 жовтня 2022 р.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Майно Державного фонду дорогоцінних металів і дорогоцінного каміння України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● </w:t>
      </w:r>
      <w:hyperlink r:id="rId36" w:anchor="Text" w:tgtFrame="_blank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 1069 від 27 вересня 2022 р.</w:t>
        </w:r>
      </w:hyperlink>
    </w:p>
    <w:p w:rsidR="00C86C20" w:rsidRDefault="00C86C20" w:rsidP="00C86C20">
      <w:pPr>
        <w:pStyle w:val="a3"/>
        <w:spacing w:before="0" w:beforeAutospacing="0" w:after="180" w:afterAutospacing="0"/>
        <w:rPr>
          <w:rFonts w:ascii="e-Ukraine" w:hAnsi="e-Ukraine"/>
          <w:color w:val="000000"/>
        </w:rPr>
      </w:pPr>
      <w:r>
        <w:rPr>
          <w:rFonts w:ascii="e-Ukraine" w:hAnsi="e-Ukraine"/>
          <w:color w:val="000000"/>
        </w:rPr>
        <w:t> 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Майно державних резервів</w:t>
      </w:r>
    </w:p>
    <w:p w:rsidR="00C86C20" w:rsidRDefault="00C86C20" w:rsidP="00C86C20">
      <w:pPr>
        <w:pStyle w:val="a3"/>
        <w:spacing w:before="0" w:beforeAutospacing="0" w:after="0" w:afterAutospacing="0"/>
        <w:rPr>
          <w:rFonts w:ascii="e-Ukraine" w:hAnsi="e-Ukraine"/>
          <w:color w:val="000000"/>
        </w:rPr>
      </w:pPr>
      <w:r>
        <w:rPr>
          <w:rStyle w:val="a6"/>
          <w:rFonts w:ascii="e-Ukraine" w:hAnsi="e-Ukraine"/>
          <w:color w:val="000000"/>
        </w:rPr>
        <w:t>● </w:t>
      </w:r>
      <w:hyperlink r:id="rId37" w:anchor="Text" w:tgtFrame="_blank" w:history="1">
        <w:r>
          <w:rPr>
            <w:rStyle w:val="a4"/>
            <w:rFonts w:ascii="e-Ukraine" w:hAnsi="e-Ukraine"/>
            <w:b/>
            <w:bCs/>
            <w:color w:val="6920EA"/>
            <w:u w:val="none"/>
          </w:rPr>
          <w:t>Постанова КМУ № 1078 від 25 серпня 2004 р.</w:t>
        </w:r>
      </w:hyperlink>
    </w:p>
    <w:p w:rsidR="008E0DE4" w:rsidRPr="00C86C20" w:rsidRDefault="008E0DE4" w:rsidP="00C86C20">
      <w:bookmarkStart w:id="0" w:name="_GoBack"/>
      <w:bookmarkEnd w:id="0"/>
    </w:p>
    <w:sectPr w:rsidR="008E0DE4" w:rsidRPr="00C86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73E7"/>
    <w:multiLevelType w:val="multilevel"/>
    <w:tmpl w:val="49F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5C"/>
    <w:rsid w:val="00002830"/>
    <w:rsid w:val="0001149C"/>
    <w:rsid w:val="00025788"/>
    <w:rsid w:val="00040DD5"/>
    <w:rsid w:val="00072D07"/>
    <w:rsid w:val="000D0E23"/>
    <w:rsid w:val="001119F1"/>
    <w:rsid w:val="00111DA1"/>
    <w:rsid w:val="001440C0"/>
    <w:rsid w:val="00154B9A"/>
    <w:rsid w:val="0018115C"/>
    <w:rsid w:val="001B4775"/>
    <w:rsid w:val="001D03E0"/>
    <w:rsid w:val="00220699"/>
    <w:rsid w:val="0023518C"/>
    <w:rsid w:val="00275714"/>
    <w:rsid w:val="002B179A"/>
    <w:rsid w:val="002F09C8"/>
    <w:rsid w:val="003042C8"/>
    <w:rsid w:val="0031312A"/>
    <w:rsid w:val="003402E2"/>
    <w:rsid w:val="00386809"/>
    <w:rsid w:val="003974D6"/>
    <w:rsid w:val="003C4447"/>
    <w:rsid w:val="003F0AB6"/>
    <w:rsid w:val="004079A8"/>
    <w:rsid w:val="00426BB5"/>
    <w:rsid w:val="00463764"/>
    <w:rsid w:val="00523295"/>
    <w:rsid w:val="00541537"/>
    <w:rsid w:val="00555BEE"/>
    <w:rsid w:val="005F48D7"/>
    <w:rsid w:val="00647E69"/>
    <w:rsid w:val="00676437"/>
    <w:rsid w:val="00691318"/>
    <w:rsid w:val="006C6C4F"/>
    <w:rsid w:val="00731FFC"/>
    <w:rsid w:val="0075442D"/>
    <w:rsid w:val="00785A44"/>
    <w:rsid w:val="007911A5"/>
    <w:rsid w:val="007A2F16"/>
    <w:rsid w:val="007B03AD"/>
    <w:rsid w:val="007C17E0"/>
    <w:rsid w:val="00885CFE"/>
    <w:rsid w:val="008E0DE4"/>
    <w:rsid w:val="00944C6F"/>
    <w:rsid w:val="00950F88"/>
    <w:rsid w:val="009C65EB"/>
    <w:rsid w:val="009D2463"/>
    <w:rsid w:val="009D6BD2"/>
    <w:rsid w:val="00A302C1"/>
    <w:rsid w:val="00A70FEC"/>
    <w:rsid w:val="00A96B2C"/>
    <w:rsid w:val="00AC1EA8"/>
    <w:rsid w:val="00AC633D"/>
    <w:rsid w:val="00AD3DFF"/>
    <w:rsid w:val="00AE6CF7"/>
    <w:rsid w:val="00AF2AE6"/>
    <w:rsid w:val="00B62198"/>
    <w:rsid w:val="00B73BBA"/>
    <w:rsid w:val="00B90496"/>
    <w:rsid w:val="00B9625E"/>
    <w:rsid w:val="00BA43B7"/>
    <w:rsid w:val="00BD6A19"/>
    <w:rsid w:val="00BF0105"/>
    <w:rsid w:val="00C86C20"/>
    <w:rsid w:val="00CC3878"/>
    <w:rsid w:val="00CE06DE"/>
    <w:rsid w:val="00D3045C"/>
    <w:rsid w:val="00D45F2B"/>
    <w:rsid w:val="00D52504"/>
    <w:rsid w:val="00EB1E29"/>
    <w:rsid w:val="00EE5E67"/>
    <w:rsid w:val="00FA2907"/>
    <w:rsid w:val="00FC3D10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78719-B9E9-4344-AC70-8D89CC50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811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6C2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C86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Q4lTWf3XLeNQZXZMj2fKqh6ADs9bHhqKCIB-HmdfyE/edit" TargetMode="External"/><Relationship Id="rId13" Type="http://schemas.openxmlformats.org/officeDocument/2006/relationships/hyperlink" Target="https://zakon.rada.gov.ua/laws/show/433-2018-%D0%BF" TargetMode="External"/><Relationship Id="rId18" Type="http://schemas.openxmlformats.org/officeDocument/2006/relationships/hyperlink" Target="https://docs.google.com/document/d/1iQ4lTWf3XLeNQZXZMj2fKqh6ADs9bHhqKCIB-HmdfyE/edit" TargetMode="External"/><Relationship Id="rId26" Type="http://schemas.openxmlformats.org/officeDocument/2006/relationships/hyperlink" Target="https://zakon.rada.gov.ua/laws/show/1050-2019-%D0%B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b5vVjkR5uQAzPcAXRimEHrA5WkYSZqxa/view" TargetMode="External"/><Relationship Id="rId34" Type="http://schemas.openxmlformats.org/officeDocument/2006/relationships/hyperlink" Target="https://zakon.rada.gov.ua/laws/show/1479-2022-%D0%BF" TargetMode="External"/><Relationship Id="rId7" Type="http://schemas.openxmlformats.org/officeDocument/2006/relationships/hyperlink" Target="https://zakon.rada.gov.ua/laws/show/161-14" TargetMode="External"/><Relationship Id="rId12" Type="http://schemas.openxmlformats.org/officeDocument/2006/relationships/hyperlink" Target="https://zakon.rada.gov.ua/laws/show/432-2018-%D0%BF" TargetMode="External"/><Relationship Id="rId17" Type="http://schemas.openxmlformats.org/officeDocument/2006/relationships/hyperlink" Target="https://zakon.rada.gov.ua/laws/show/884-2019-%D0%BF" TargetMode="External"/><Relationship Id="rId25" Type="http://schemas.openxmlformats.org/officeDocument/2006/relationships/hyperlink" Target="https://drive.google.com/file/d/184809TEMg7QcDSj8cpOQ2KG3Y2bQ0vA4/view?usp=sharing" TargetMode="External"/><Relationship Id="rId33" Type="http://schemas.openxmlformats.org/officeDocument/2006/relationships/hyperlink" Target="https://drive.google.com/file/d/1UGpGEuPsFb3a2PY7-EPHZv40SLavQGnj/view?usp=shari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69-19" TargetMode="External"/><Relationship Id="rId20" Type="http://schemas.openxmlformats.org/officeDocument/2006/relationships/hyperlink" Target="https://www.fg.gov.ua/storage/editor/files/pechat-reglament-ii-ets_1638524213.pdf" TargetMode="External"/><Relationship Id="rId29" Type="http://schemas.openxmlformats.org/officeDocument/2006/relationships/hyperlink" Target="https://zakon.rada.gov.ua/laws/show/2597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013-2021-%D0%BF" TargetMode="External"/><Relationship Id="rId11" Type="http://schemas.openxmlformats.org/officeDocument/2006/relationships/hyperlink" Target="https://zakon.rada.gov.ua/laws/show/634-2022-%D0%BF" TargetMode="External"/><Relationship Id="rId24" Type="http://schemas.openxmlformats.org/officeDocument/2006/relationships/hyperlink" Target="https://docs.google.com/document/d/1iQ4lTWf3XLeNQZXZMj2fKqh6ADs9bHhqKCIB-HmdfyE/edit" TargetMode="External"/><Relationship Id="rId32" Type="http://schemas.openxmlformats.org/officeDocument/2006/relationships/hyperlink" Target="https://zakon.rada.gov.ua/laws/show/281-2020-%D0%BF" TargetMode="External"/><Relationship Id="rId37" Type="http://schemas.openxmlformats.org/officeDocument/2006/relationships/hyperlink" Target="https://zakon.rada.gov.ua/laws/show/1078-2004-%D0%BF" TargetMode="External"/><Relationship Id="rId5" Type="http://schemas.openxmlformats.org/officeDocument/2006/relationships/hyperlink" Target="https://zakon.rada.gov.ua/laws/show/2768-14" TargetMode="External"/><Relationship Id="rId15" Type="http://schemas.openxmlformats.org/officeDocument/2006/relationships/hyperlink" Target="https://zakon.rada.gov.ua/laws/show/183-2023-%D0%BF" TargetMode="External"/><Relationship Id="rId23" Type="http://schemas.openxmlformats.org/officeDocument/2006/relationships/hyperlink" Target="https://zakon.rada.gov.ua/laws/show/1054-2017-%D0%BF" TargetMode="External"/><Relationship Id="rId28" Type="http://schemas.openxmlformats.org/officeDocument/2006/relationships/hyperlink" Target="https://zakon.rada.gov.ua/laws/show/993-2020-%D0%BF" TargetMode="External"/><Relationship Id="rId36" Type="http://schemas.openxmlformats.org/officeDocument/2006/relationships/hyperlink" Target="https://zakon.rada.gov.ua/laws/show/1069-2022-%D0%BF" TargetMode="External"/><Relationship Id="rId10" Type="http://schemas.openxmlformats.org/officeDocument/2006/relationships/hyperlink" Target="https://zakon.rada.gov.ua/laws/show/483-2020-%D0%BF" TargetMode="External"/><Relationship Id="rId19" Type="http://schemas.openxmlformats.org/officeDocument/2006/relationships/hyperlink" Target="https://www.fg.gov.ua/storage/editor/files/pechat-reglament-i-ets.pdf" TargetMode="External"/><Relationship Id="rId31" Type="http://schemas.openxmlformats.org/officeDocument/2006/relationships/hyperlink" Target="https://drive.google.com/file/d/152RdTB7prVlfDpSCChbfCJpJ__QZYDqh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7-IX" TargetMode="External"/><Relationship Id="rId14" Type="http://schemas.openxmlformats.org/officeDocument/2006/relationships/hyperlink" Target="https://zakon.rada.gov.ua/laws/show/2269-19" TargetMode="External"/><Relationship Id="rId22" Type="http://schemas.openxmlformats.org/officeDocument/2006/relationships/hyperlink" Target="https://zakon.rada.gov.ua/laws/show/z0606-16" TargetMode="External"/><Relationship Id="rId27" Type="http://schemas.openxmlformats.org/officeDocument/2006/relationships/hyperlink" Target="https://docs.google.com/document/d/1iQ4lTWf3XLeNQZXZMj2fKqh6ADs9bHhqKCIB-HmdfyE/edit" TargetMode="External"/><Relationship Id="rId30" Type="http://schemas.openxmlformats.org/officeDocument/2006/relationships/hyperlink" Target="https://zakon.rada.gov.ua/laws/show/865-2019-%D0%BF" TargetMode="External"/><Relationship Id="rId35" Type="http://schemas.openxmlformats.org/officeDocument/2006/relationships/hyperlink" Target="https://zakon.rada.gov.ua/laws/show/1191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Стукалов</dc:creator>
  <cp:keywords/>
  <dc:description/>
  <cp:lastModifiedBy>Кирилл Стукалов</cp:lastModifiedBy>
  <cp:revision>2</cp:revision>
  <dcterms:created xsi:type="dcterms:W3CDTF">2023-09-06T09:35:00Z</dcterms:created>
  <dcterms:modified xsi:type="dcterms:W3CDTF">2023-09-06T09:35:00Z</dcterms:modified>
</cp:coreProperties>
</file>